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FAB8" w14:textId="77777777" w:rsidR="000F74A9" w:rsidRPr="000F74A9" w:rsidRDefault="000F74A9" w:rsidP="000F74A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96DB"/>
          <w:kern w:val="36"/>
          <w:sz w:val="48"/>
          <w:szCs w:val="48"/>
          <w:lang w:eastAsia="hu-HU"/>
        </w:rPr>
      </w:pPr>
      <w:bookmarkStart w:id="0" w:name="_GoBack"/>
      <w:r w:rsidRPr="000F74A9">
        <w:rPr>
          <w:rFonts w:ascii="Times New Roman" w:eastAsia="Times New Roman" w:hAnsi="Times New Roman" w:cs="Times New Roman"/>
          <w:b/>
          <w:bCs/>
          <w:color w:val="0096DB"/>
          <w:kern w:val="36"/>
          <w:sz w:val="48"/>
          <w:szCs w:val="48"/>
          <w:lang w:eastAsia="hu-HU"/>
        </w:rPr>
        <w:t>Adó- és értékbizonyítvány</w:t>
      </w:r>
    </w:p>
    <w:p w14:paraId="438B1506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Ügyleírás:</w:t>
      </w:r>
    </w:p>
    <w:p w14:paraId="49B25927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helyi önkormányzatok és szerveik, a köztársasági megbízottak, valamint egyes centrális alárendeltségű szervek feladat- és hatásköreiről szóló 1991. évi XX. törvény 140. § (2) bekezdés d) pontja szerint, a jegyző adóügyi feladata, külön jogszabály rendelkezése alapján, az ügyfél kérelmére vagy hatóság megkeresésére kiállítja, illetőleg megküldi az adó- és értékbizonyítványt. Az ingatlan fekvése szerint illetékes települési önkormányzat jegyzője által kiállított adó- és értékbizonyítvány tartalmazza az ingatlan és az ingatlanszerzők (tulajdonosok) adatait, az érték megállapításánál figyelembe vett tényezőket, továbbá az ingatlannak az adott időpontban fennálló forgalmi értékét.</w:t>
      </w:r>
    </w:p>
    <w:p w14:paraId="5A12FC11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Benyújtó személye: 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ügyfél, az ügyfél törvényes képviselője, meghatalmazottja, vagy más hatóság (külön jogszabályi rendelkezés alapján).</w:t>
      </w:r>
    </w:p>
    <w:p w14:paraId="255CFC48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Benyújtás formája és módja: 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Az ügy kérelemre indul, a kérelem benyújtható az adóhatóság által rendszeresített űrlapon, elektronikus formában, 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ePapíron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, valamint levélben, illetve személyesen az ügyfélszolgálaton.</w:t>
      </w:r>
    </w:p>
    <w:p w14:paraId="7B472367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adóigazgatási rendtartásról szóló 2017. évi CLI. törvény rendelkezései alapján az adóhatóság írásban, az elektronikus ügyintézés és a bizalmi szolgáltatások általános szabályairól szóló 2015. évi CCXXII. törvényben (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Eüsztv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.) meghatározott elektronikus úton (a továbbiakban együtt: írásban) vagy személyesen, írásbelinek nem minősülő elektronikus úton (a továbbiakban együtt: szóban) tart kapcsolatot az adózóval és az eljárásban résztvevőkkel. Az adóhatóság elektronikus úton tart kapcsolatot azzal az adózóval, aki (amely) az 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Eüsztv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 alapján elektronikus ügyintézésre kötelezett. Az elektronikus önkormányzati ügyintézés helyszíne az önkormányzati ASP-rendszerben az Önkormányzati Hivatali Portál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</w:t>
      </w:r>
    </w:p>
    <w:p w14:paraId="73263108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Ügyintézési határidő: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Az adó- és értékbizonyítvány kiállítására irányuló eljárásban az ügyintézési határidő 8 nap.</w:t>
      </w:r>
    </w:p>
    <w:p w14:paraId="1B34019C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Eljárás illetéke: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Az adó- és értékbizonyítvány kiállítása iránti eljárás 4.000 forint illeték alá esik. Ha egy beadványban több ingatlanra vonatkozó adó- és értékbizonyítványt kérnek, az illetéket ezek számától függően, külön-külön kell megfizetni.</w:t>
      </w:r>
    </w:p>
    <w:p w14:paraId="352E8155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hagyatéki, gyámhivatali, és bírósági végrehajtási eljárásban kért adó- és értékbizonyítvány kiadása illetékmentes az illetékekről szóló 1990. évi XCIII. törvény 33. § (2) bekezdésében foglaltak alapján.</w:t>
      </w:r>
    </w:p>
    <w:p w14:paraId="5424748B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Adó- és értékbizonyítványhoz szükséges dokumentumok:</w:t>
      </w:r>
    </w:p>
    <w:p w14:paraId="1597CA19" w14:textId="77777777" w:rsidR="000F74A9" w:rsidRPr="000F74A9" w:rsidRDefault="000F74A9" w:rsidP="000F7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Kérelem adó- és értékbizonyítvány kiállításához</w:t>
      </w:r>
    </w:p>
    <w:p w14:paraId="7B30CD23" w14:textId="77777777" w:rsidR="000F74A9" w:rsidRPr="000F74A9" w:rsidRDefault="000F74A9" w:rsidP="000F7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lastRenderedPageBreak/>
        <w:t>meghatalmazott eljárása esetén meghatalmazás,</w:t>
      </w:r>
    </w:p>
    <w:p w14:paraId="1A3AB06D" w14:textId="77777777" w:rsidR="000F74A9" w:rsidRPr="000F74A9" w:rsidRDefault="000F74A9" w:rsidP="000F7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adásvételi, ajándékozási szerződés másolata (amennyiben az adó- és értékbizonyítványt adásvétellel, ajándékozással összefüggésben kérik, pl. gyámhatósági eljárásban),</w:t>
      </w:r>
    </w:p>
    <w:p w14:paraId="588F110D" w14:textId="77777777" w:rsidR="000F74A9" w:rsidRPr="000F74A9" w:rsidRDefault="000F74A9" w:rsidP="000F7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amennyiben az eljárás nem illetékmentes, ingatlanonként 4.000 Ft illeték befizetését igazoló készpénzátutalási-megbízás feladóvevénye, vagy az átutalási megbízás teljesítéséről szóló igazolás.</w:t>
      </w:r>
    </w:p>
    <w:p w14:paraId="038DF632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Adó- és értékbizonyítvány kézbesítése: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 Az adóhatóság az igazolást írásbeli kapcsolattartás esetén hivatalos iratként postai úton vagy az 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Eüsztv.-ben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meghatározott elektronikus úton kézbesíti. A meghatalmazott képviselővel eljáró adózó esetében a meghatalmazott képviselőnek kerül kézbesítésre hivatalos iratként vagy az 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Eüsztv.-ben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meghatározott elektronikus úton. Elektronikus kapcsolattartásra nem kötelezett adózó részére, az adózó vagy képviselője adóhatósághoz bejelentett címére, valamint Magyarországon lakóhellyel nem rendelkező külföldi személy magyarországi kézbesítési meghatalmazottja címére kerül feladásra.</w:t>
      </w:r>
    </w:p>
    <w:p w14:paraId="782A80CD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Illetékességi terület: </w:t>
      </w:r>
      <w:r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Újhartyán közigazgatási területe. </w:t>
      </w:r>
    </w:p>
    <w:p w14:paraId="119C31DC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Jogorvoslat típusa, benyújtási határideje, illetéke:</w:t>
      </w: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Az adó- és értékbizonyítvány hatósági bizonyítványnak minősül, melyet határozatnak kell tekinteni.</w:t>
      </w:r>
    </w:p>
    <w:p w14:paraId="3031824A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fellebbezésre jogosult a határozat ellen a kézhezvételtől számított 15 napon belül a Pest Megyei Kormányhivatalhoz címzett, de az első fokú adóhatóságnál benyújtott fellebbezéssel élhet.</w:t>
      </w:r>
    </w:p>
    <w:p w14:paraId="766021A7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első fokú határozat elleni fellebbezés illetéke, ha a fellebbezés tárgyának értéke pénzben megállapítható, a fellebbezéssel érintett vagy vitatott összeg minden megkezdett 10 000 forintja után 400 forint, de legalább 5000 forint, legfeljebb 500 000 forint. Ha a fellebbezés tárgyának értéke pénzben nem állapítható meg, a fellebbezés illetéke 5000 forint.</w:t>
      </w:r>
    </w:p>
    <w:p w14:paraId="60F7FC87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fellebbezési illetéket a fellebbezés benyújtásával egyidejűleg kell megfizetni.</w:t>
      </w:r>
    </w:p>
    <w:p w14:paraId="249FA06F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 </w:t>
      </w:r>
    </w:p>
    <w:p w14:paraId="1ADA908D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b/>
          <w:bCs/>
          <w:color w:val="404040"/>
          <w:sz w:val="24"/>
          <w:szCs w:val="24"/>
          <w:lang w:eastAsia="hu-HU"/>
        </w:rPr>
        <w:t>Az eljárás során alkalmazott jogszabályok:</w:t>
      </w:r>
    </w:p>
    <w:p w14:paraId="4DE83CFA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adózás rendjéről szóló </w:t>
      </w:r>
      <w:hyperlink r:id="rId5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2017. évi CL. törvény</w:t>
        </w:r>
      </w:hyperlink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(Art.)</w:t>
      </w:r>
    </w:p>
    <w:p w14:paraId="61780ECC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adóigazgatási rendtartásról szóló </w:t>
      </w:r>
      <w:hyperlink r:id="rId6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2017. évi CLI. törvény</w:t>
        </w:r>
      </w:hyperlink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(Air.)</w:t>
      </w:r>
    </w:p>
    <w:p w14:paraId="55DC88FE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elektronikus ügyintézés és a bizalmi szolgáltatások általános szabályairól szóló </w:t>
      </w:r>
      <w:hyperlink r:id="rId7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2015. évi CCXXII. törvény</w:t>
        </w:r>
      </w:hyperlink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 (</w:t>
      </w:r>
      <w:proofErr w:type="spellStart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Eüsztv</w:t>
      </w:r>
      <w:proofErr w:type="spellEnd"/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.)</w:t>
      </w:r>
    </w:p>
    <w:p w14:paraId="08804CCC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Az illetékekről szóló </w:t>
      </w:r>
      <w:hyperlink r:id="rId8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1990. évi XCIII. törvény</w:t>
        </w:r>
      </w:hyperlink>
    </w:p>
    <w:p w14:paraId="3D0EDD64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lastRenderedPageBreak/>
        <w:t>A helyi önkormányzatok és szerveik, a köztársasági megbízottak, valamint egyes centrális alárendeltségű szervek feladat- és hatásköreiről szóló </w:t>
      </w:r>
      <w:hyperlink r:id="rId9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1991. évi XX. törvény</w:t>
        </w:r>
      </w:hyperlink>
    </w:p>
    <w:p w14:paraId="7E501067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bírósági végrehajtásról szóló </w:t>
      </w:r>
      <w:hyperlink r:id="rId10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1994. évi LIII. törvény</w:t>
        </w:r>
      </w:hyperlink>
    </w:p>
    <w:p w14:paraId="60923FC5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hagyatéki eljárásról szóló </w:t>
      </w:r>
      <w:hyperlink r:id="rId11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2010. évi XXXVIII. törvény</w:t>
        </w:r>
      </w:hyperlink>
    </w:p>
    <w:p w14:paraId="65A5483F" w14:textId="77777777" w:rsidR="000F74A9" w:rsidRPr="000F74A9" w:rsidRDefault="000F74A9" w:rsidP="000F74A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hu-HU"/>
        </w:rPr>
      </w:pPr>
      <w:r w:rsidRPr="000F74A9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A gyámhatóságokról, valamint a gyermekvédelmi és gyámügyi eljárásról szóló </w:t>
      </w:r>
      <w:hyperlink r:id="rId12" w:history="1">
        <w:r w:rsidRPr="000F74A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hu-HU"/>
          </w:rPr>
          <w:t>149/1997. (IX. 10.) Korm. rendelet</w:t>
        </w:r>
      </w:hyperlink>
    </w:p>
    <w:p w14:paraId="10D1975E" w14:textId="77777777" w:rsidR="00761DAC" w:rsidRDefault="00761DAC" w:rsidP="000F74A9"/>
    <w:p w14:paraId="53A8BC00" w14:textId="77777777" w:rsidR="000F74A9" w:rsidRDefault="000F74A9" w:rsidP="000F74A9"/>
    <w:p w14:paraId="0B413773" w14:textId="77777777" w:rsidR="000F74A9" w:rsidRDefault="000F74A9" w:rsidP="000F74A9"/>
    <w:p w14:paraId="5FF8FC62" w14:textId="77777777" w:rsidR="000F74A9" w:rsidRDefault="000F74A9" w:rsidP="000F74A9"/>
    <w:p w14:paraId="6DF731FC" w14:textId="77777777" w:rsidR="000F74A9" w:rsidRDefault="000F74A9" w:rsidP="000F74A9"/>
    <w:p w14:paraId="3F459073" w14:textId="77777777" w:rsidR="000F74A9" w:rsidRDefault="000F74A9" w:rsidP="000F74A9"/>
    <w:p w14:paraId="6AC36803" w14:textId="77777777" w:rsidR="000F74A9" w:rsidRDefault="000F74A9" w:rsidP="000F74A9"/>
    <w:p w14:paraId="657A2BEE" w14:textId="77777777" w:rsidR="000F74A9" w:rsidRDefault="000F74A9" w:rsidP="000F74A9"/>
    <w:p w14:paraId="1AF4386F" w14:textId="77777777" w:rsidR="000F74A9" w:rsidRDefault="000F74A9" w:rsidP="000F74A9"/>
    <w:p w14:paraId="2625AE2D" w14:textId="77777777" w:rsidR="000F74A9" w:rsidRDefault="000F74A9" w:rsidP="000F74A9"/>
    <w:p w14:paraId="0E97C280" w14:textId="77777777" w:rsidR="000F74A9" w:rsidRDefault="000F74A9" w:rsidP="000F74A9"/>
    <w:p w14:paraId="6F0D6D48" w14:textId="77777777" w:rsidR="000F74A9" w:rsidRDefault="000F74A9" w:rsidP="000F74A9"/>
    <w:p w14:paraId="7126599D" w14:textId="77777777" w:rsidR="000F74A9" w:rsidRDefault="000F74A9" w:rsidP="000F74A9"/>
    <w:p w14:paraId="6748E2FB" w14:textId="77777777" w:rsidR="000F74A9" w:rsidRDefault="000F74A9" w:rsidP="000F74A9"/>
    <w:p w14:paraId="72389644" w14:textId="77777777" w:rsidR="000F74A9" w:rsidRDefault="000F74A9" w:rsidP="000F74A9"/>
    <w:p w14:paraId="7FE99BCC" w14:textId="77777777" w:rsidR="000F74A9" w:rsidRDefault="000F74A9" w:rsidP="000F74A9"/>
    <w:p w14:paraId="400ACCEE" w14:textId="77777777" w:rsidR="000F74A9" w:rsidRDefault="000F74A9" w:rsidP="000F74A9"/>
    <w:p w14:paraId="7964AEFC" w14:textId="77777777" w:rsidR="000F74A9" w:rsidRDefault="000F74A9" w:rsidP="000F74A9"/>
    <w:p w14:paraId="2699E24C" w14:textId="77777777" w:rsidR="000F74A9" w:rsidRDefault="000F74A9" w:rsidP="000F74A9"/>
    <w:p w14:paraId="788B550C" w14:textId="77777777" w:rsidR="000F74A9" w:rsidRDefault="000F74A9" w:rsidP="000F74A9"/>
    <w:p w14:paraId="144AAC97" w14:textId="77777777" w:rsidR="000F74A9" w:rsidRDefault="000F74A9" w:rsidP="000F74A9"/>
    <w:p w14:paraId="0FCBE0D2" w14:textId="77777777" w:rsidR="000F74A9" w:rsidRDefault="000F74A9" w:rsidP="000F74A9"/>
    <w:p w14:paraId="1B7C821A" w14:textId="77777777" w:rsidR="000F74A9" w:rsidRDefault="000F74A9" w:rsidP="000F74A9"/>
    <w:p w14:paraId="1297E090" w14:textId="77777777" w:rsidR="000F74A9" w:rsidRDefault="000F74A9" w:rsidP="000F74A9"/>
    <w:p w14:paraId="678EA1DE" w14:textId="77777777" w:rsidR="000F74A9" w:rsidRDefault="000F74A9" w:rsidP="000F74A9">
      <w:r>
        <w:lastRenderedPageBreak/>
        <w:t>KÉRELEM</w:t>
      </w:r>
    </w:p>
    <w:p w14:paraId="65E4AC45" w14:textId="77777777" w:rsidR="000F74A9" w:rsidRDefault="000F74A9" w:rsidP="000F74A9">
      <w:r>
        <w:t>ADÓ-ÉS ÉRTÉKBIZONYÍTVÁNY KIÁLLÍTÁSÁHOZ</w:t>
      </w:r>
    </w:p>
    <w:p w14:paraId="10B1BF1E" w14:textId="77777777" w:rsidR="000F74A9" w:rsidRDefault="000F74A9" w:rsidP="000F74A9">
      <w:r>
        <w:t>Alulírott</w:t>
      </w:r>
      <w:proofErr w:type="gramStart"/>
      <w:r>
        <w:t>………</w:t>
      </w:r>
      <w:proofErr w:type="gramEnd"/>
      <w:r>
        <w:t>év………………..hó……….napján kérelemmel élek Újhartyán Város Önkormányzati</w:t>
      </w:r>
    </w:p>
    <w:p w14:paraId="0DFD9288" w14:textId="77777777" w:rsidR="000F74A9" w:rsidRDefault="000F74A9" w:rsidP="000F74A9">
      <w:r>
        <w:t>Hivatal Adóirodája felé azzal, hogy az I. pontban feltüntetett személy/társaság* részére adó - és</w:t>
      </w:r>
    </w:p>
    <w:p w14:paraId="53EB1A76" w14:textId="77777777" w:rsidR="000F74A9" w:rsidRDefault="000F74A9" w:rsidP="000F74A9">
      <w:r>
        <w:t>értékbizonyítványt állítson ki a II. pontban megjelölt céllal és a III. pontban szereplő</w:t>
      </w:r>
    </w:p>
    <w:p w14:paraId="7D62FD66" w14:textId="77777777" w:rsidR="000F74A9" w:rsidRDefault="000F74A9" w:rsidP="000F74A9">
      <w:r>
        <w:t>szervezet*/intézmény* részére:</w:t>
      </w:r>
    </w:p>
    <w:p w14:paraId="59A03EC5" w14:textId="77777777" w:rsidR="000F74A9" w:rsidRDefault="000F74A9" w:rsidP="000F74A9">
      <w:r>
        <w:t>*A megfelelő részt kérjük aláhúzással jelölni!</w:t>
      </w:r>
    </w:p>
    <w:p w14:paraId="7394EA33" w14:textId="77777777" w:rsidR="000F74A9" w:rsidRDefault="000F74A9" w:rsidP="000F74A9">
      <w:r>
        <w:t>I. Adó-és értékbizonyítvány jogosultja:</w:t>
      </w:r>
    </w:p>
    <w:p w14:paraId="32E9902D" w14:textId="77777777" w:rsidR="000F74A9" w:rsidRDefault="000F74A9" w:rsidP="000F74A9">
      <w:r>
        <w:t>Név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14:paraId="454CECAF" w14:textId="77777777" w:rsidR="000F74A9" w:rsidRDefault="000F74A9" w:rsidP="000F74A9">
      <w:r>
        <w:t>Cím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14:paraId="3320C35A" w14:textId="77777777" w:rsidR="000F74A9" w:rsidRDefault="000F74A9" w:rsidP="000F74A9">
      <w:r>
        <w:t>Adószám/adóazonosító jel</w:t>
      </w:r>
      <w:proofErr w:type="gramStart"/>
      <w:r>
        <w:t>:………………………………………………………………………………..</w:t>
      </w:r>
      <w:proofErr w:type="gramEnd"/>
    </w:p>
    <w:p w14:paraId="0AF31C01" w14:textId="77777777" w:rsidR="000F74A9" w:rsidRDefault="000F74A9" w:rsidP="000F74A9">
      <w:r>
        <w:t>II. Adó-és értékbizonyítvány felhasználásának megjelölése:</w:t>
      </w:r>
    </w:p>
    <w:p w14:paraId="2B8610B5" w14:textId="77777777" w:rsidR="000F74A9" w:rsidRDefault="000F74A9" w:rsidP="000F74A9">
      <w:r>
        <w:t>---------------------------------------------------------------------------------------------------------------------- céljából.</w:t>
      </w:r>
    </w:p>
    <w:p w14:paraId="513BA806" w14:textId="77777777" w:rsidR="000F74A9" w:rsidRDefault="000F74A9" w:rsidP="000F74A9">
      <w:r>
        <w:t xml:space="preserve">III. Adó- és értékbizonyítvány felhasználásának </w:t>
      </w:r>
      <w:proofErr w:type="gramStart"/>
      <w:r>
        <w:t>helye :</w:t>
      </w:r>
      <w:proofErr w:type="gramEnd"/>
    </w:p>
    <w:p w14:paraId="78A9D7D3" w14:textId="77777777" w:rsidR="000F74A9" w:rsidRDefault="000F74A9" w:rsidP="000F74A9">
      <w:r>
        <w:t>IV. Értékelendő ingatlan adatai:</w:t>
      </w:r>
    </w:p>
    <w:p w14:paraId="26C9BE34" w14:textId="77777777" w:rsidR="000F74A9" w:rsidRDefault="000F74A9" w:rsidP="000F74A9">
      <w:r>
        <w:t>Ingatlan címe:-----------------------------------------------------------------------------; Hrsz-------------------------</w:t>
      </w:r>
    </w:p>
    <w:p w14:paraId="249290CE" w14:textId="77777777" w:rsidR="000F74A9" w:rsidRDefault="000F74A9" w:rsidP="000F74A9">
      <w:r>
        <w:t>*Az adó- és értékbizonyítvány kiállítása az illetékekről szóló 1990. évi XCIII. tv. mellékletének XIX.</w:t>
      </w:r>
    </w:p>
    <w:p w14:paraId="25CA065B" w14:textId="77777777" w:rsidR="000F74A9" w:rsidRDefault="000F74A9" w:rsidP="000F74A9">
      <w:r>
        <w:t>pontja alapján *illetékköteles. A kérelem benyújtásakor Újhartyán Önkormányzat Eljárási</w:t>
      </w:r>
    </w:p>
    <w:p w14:paraId="52628A87" w14:textId="77777777" w:rsidR="000F74A9" w:rsidRDefault="000F74A9" w:rsidP="000F74A9">
      <w:r>
        <w:t>Illetékbeszedési számla: () javára a 4.000,-Ft, azaz négyezer</w:t>
      </w:r>
    </w:p>
    <w:p w14:paraId="29694319" w14:textId="77777777" w:rsidR="000F74A9" w:rsidRDefault="000F74A9" w:rsidP="000F74A9">
      <w:r>
        <w:t>forint összegű illetéket 20___. év_______hó______nappal megfizettem.</w:t>
      </w:r>
    </w:p>
    <w:p w14:paraId="463FD8B1" w14:textId="77777777" w:rsidR="000F74A9" w:rsidRDefault="000F74A9" w:rsidP="000F74A9">
      <w:r>
        <w:t>(Több ingatlanra vonatkozó adó- és értékbizonyítvány ingatlanonként 4.000,-Ft, amit</w:t>
      </w:r>
    </w:p>
    <w:p w14:paraId="1A68EA80" w14:textId="77777777" w:rsidR="000F74A9" w:rsidRDefault="000F74A9" w:rsidP="000F74A9">
      <w:r>
        <w:t>ingatlanonként kell megfizetni.)</w:t>
      </w:r>
    </w:p>
    <w:p w14:paraId="45F8EF11" w14:textId="77777777" w:rsidR="000F74A9" w:rsidRDefault="000F74A9" w:rsidP="000F74A9">
      <w:r>
        <w:t>*Az adó- és értékbizonyítvány kiállítása az illetékekről szóló 1990. évi XCIII. törvény 33. §-a alapján</w:t>
      </w:r>
    </w:p>
    <w:p w14:paraId="79F82C59" w14:textId="77777777" w:rsidR="000F74A9" w:rsidRDefault="000F74A9" w:rsidP="000F74A9">
      <w:r>
        <w:t>*illetékmentes.</w:t>
      </w:r>
    </w:p>
    <w:p w14:paraId="40CA55FB" w14:textId="77777777" w:rsidR="000F74A9" w:rsidRDefault="000F74A9" w:rsidP="000F74A9">
      <w:r>
        <w:t>*A megfelelő rész aláhúzandó!</w:t>
      </w:r>
    </w:p>
    <w:p w14:paraId="2D515D92" w14:textId="77777777" w:rsidR="000F74A9" w:rsidRDefault="000F74A9" w:rsidP="000F74A9">
      <w:r>
        <w:t>A kérelemhez csatolom a kérelemben érintett ingatlan tulajdoni lap/ szerződés másolatait.</w:t>
      </w:r>
    </w:p>
    <w:p w14:paraId="257F6649" w14:textId="77777777" w:rsidR="000F74A9" w:rsidRDefault="000F74A9" w:rsidP="000F74A9">
      <w:r>
        <w:t>Újhartyán, 20____év___________hó_________nap.</w:t>
      </w:r>
    </w:p>
    <w:p w14:paraId="2383B37F" w14:textId="77777777" w:rsidR="000F74A9" w:rsidRDefault="000F74A9" w:rsidP="000F74A9">
      <w:r>
        <w:t>___________________________________</w:t>
      </w:r>
    </w:p>
    <w:p w14:paraId="0E89D2BA" w14:textId="77777777" w:rsidR="000F74A9" w:rsidRDefault="000F74A9" w:rsidP="000F74A9">
      <w:r>
        <w:t>Kérelmező neve és aláírása/cégszerű/</w:t>
      </w:r>
    </w:p>
    <w:p w14:paraId="5865D6E7" w14:textId="77777777" w:rsidR="000F74A9" w:rsidRDefault="000F74A9" w:rsidP="000F74A9"/>
    <w:p w14:paraId="55F231A3" w14:textId="77777777" w:rsidR="000F74A9" w:rsidRDefault="000F74A9" w:rsidP="000F74A9"/>
    <w:p w14:paraId="47670C43" w14:textId="77777777" w:rsidR="000F74A9" w:rsidRDefault="000F74A9" w:rsidP="000F74A9">
      <w:r>
        <w:lastRenderedPageBreak/>
        <w:t>TÁJÉKOZTATÓ</w:t>
      </w:r>
    </w:p>
    <w:p w14:paraId="574E3C35" w14:textId="77777777" w:rsidR="000F74A9" w:rsidRDefault="000F74A9" w:rsidP="000F74A9">
      <w:r>
        <w:t>A jegyző külön jogszabály rendelkezése alapján, az ügyfél kérelmére vagy hatóság megkeresésére kiállítja,</w:t>
      </w:r>
    </w:p>
    <w:p w14:paraId="6F689D3C" w14:textId="77777777" w:rsidR="000F74A9" w:rsidRDefault="000F74A9" w:rsidP="000F74A9">
      <w:r>
        <w:t>illetőleg megküldi az adó- és értékbizonyítványt. Ezen külön jogszabályi rendelkezések a következők:</w:t>
      </w:r>
    </w:p>
    <w:p w14:paraId="1B64FACA" w14:textId="77777777" w:rsidR="000F74A9" w:rsidRDefault="000F74A9" w:rsidP="000F74A9">
      <w:r>
        <w:t>- a bírósági végrehajtásról szóló 1994. évi LIII. törvény. 140. § (1) bekezdés,</w:t>
      </w:r>
    </w:p>
    <w:p w14:paraId="0BF5D1C1" w14:textId="77777777" w:rsidR="000F74A9" w:rsidRDefault="000F74A9" w:rsidP="000F74A9">
      <w:r>
        <w:t>- a hagyatéki eljárásról szóló 2010. évi XXXVIII. törvény 26. § (1) bekezdés,</w:t>
      </w:r>
    </w:p>
    <w:p w14:paraId="707C9FB1" w14:textId="77777777" w:rsidR="000F74A9" w:rsidRDefault="000F74A9" w:rsidP="000F74A9">
      <w:r>
        <w:t>- a gyámhatóságokról, valamint a gyermekvédelmi és gyámügyi eljárásról szóló 149/1997. (IX. 10.)</w:t>
      </w:r>
    </w:p>
    <w:p w14:paraId="78074D8C" w14:textId="77777777" w:rsidR="000F74A9" w:rsidRDefault="000F74A9" w:rsidP="000F74A9">
      <w:r>
        <w:t xml:space="preserve">Korm. rendelet 153. § (1) bekezdés b) pont, 78. § (1) bekezdés </w:t>
      </w:r>
      <w:proofErr w:type="spellStart"/>
      <w:r>
        <w:t>ac</w:t>
      </w:r>
      <w:proofErr w:type="spellEnd"/>
      <w:r>
        <w:t>) pont;</w:t>
      </w:r>
    </w:p>
    <w:p w14:paraId="4B36E4A0" w14:textId="77777777" w:rsidR="000F74A9" w:rsidRDefault="000F74A9" w:rsidP="000F74A9">
      <w:r>
        <w:t>- a lakáscélú állami támogatásokról szóló 12/2001. (I. 31.) Korm. rendelet 21/A. § (9) bekezdés b)</w:t>
      </w:r>
    </w:p>
    <w:p w14:paraId="13EDB634" w14:textId="77777777" w:rsidR="000F74A9" w:rsidRDefault="000F74A9" w:rsidP="000F74A9">
      <w:r>
        <w:t>pont,</w:t>
      </w:r>
    </w:p>
    <w:p w14:paraId="2173A7D5" w14:textId="77777777" w:rsidR="000F74A9" w:rsidRDefault="000F74A9" w:rsidP="000F74A9">
      <w:r>
        <w:t>- a szociális igazgatásról és szociális ellátásokról szóló 1993. évi III. törvény vagyonvizsgálathoz</w:t>
      </w:r>
    </w:p>
    <w:p w14:paraId="6CFA6008" w14:textId="77777777" w:rsidR="000F74A9" w:rsidRDefault="000F74A9" w:rsidP="000F74A9">
      <w:r>
        <w:t>kapcsolódó része</w:t>
      </w:r>
    </w:p>
    <w:p w14:paraId="5C4301F3" w14:textId="77777777" w:rsidR="000F74A9" w:rsidRDefault="000F74A9" w:rsidP="000F74A9">
      <w:r>
        <w:t>A bírósági végrehajtással összefüggésben kiadott, úgyszintén a hagyatéki, valamint a gyámhatósági</w:t>
      </w:r>
    </w:p>
    <w:p w14:paraId="11AEA89D" w14:textId="77777777" w:rsidR="000F74A9" w:rsidRDefault="000F74A9" w:rsidP="000F74A9">
      <w:r>
        <w:t>eljáráshoz szükséges adó- és értékbizonyítvány kiállítása illetékmentes, a fiatalok otthonteremtési</w:t>
      </w:r>
    </w:p>
    <w:p w14:paraId="748740A3" w14:textId="77777777" w:rsidR="000F74A9" w:rsidRDefault="000F74A9" w:rsidP="000F74A9">
      <w:r>
        <w:t>támogatásának igénylése céljából kiállított adó- és értékbizonyítvány után ingatlanonként 4.000 Ft</w:t>
      </w:r>
    </w:p>
    <w:p w14:paraId="03C79080" w14:textId="77777777" w:rsidR="000F74A9" w:rsidRDefault="000F74A9" w:rsidP="000F74A9">
      <w:r>
        <w:t>illetéket kell fizetni.</w:t>
      </w:r>
    </w:p>
    <w:p w14:paraId="19FF258A" w14:textId="77777777" w:rsidR="000F74A9" w:rsidRDefault="000F74A9" w:rsidP="000F74A9">
      <w:r>
        <w:t>Az ingatlan fekvése szerint illetékes települési önkormányzat jegyzője által kiállított adó- és</w:t>
      </w:r>
    </w:p>
    <w:p w14:paraId="6C4FEAF5" w14:textId="77777777" w:rsidR="000F74A9" w:rsidRDefault="000F74A9" w:rsidP="000F74A9">
      <w:r>
        <w:t>értékbizonyítvány tartalmazza</w:t>
      </w:r>
    </w:p>
    <w:p w14:paraId="50F5B250" w14:textId="77777777" w:rsidR="000F74A9" w:rsidRDefault="000F74A9" w:rsidP="000F74A9">
      <w:r>
        <w:t>- az ingatlan és az ingatlanszerzők (tulajdonosok) adatait,</w:t>
      </w:r>
    </w:p>
    <w:p w14:paraId="7CC683E5" w14:textId="77777777" w:rsidR="000F74A9" w:rsidRDefault="000F74A9" w:rsidP="000F74A9">
      <w:r>
        <w:t>- az érték megállapításánál figyelembe vett tényezőket, továbbá</w:t>
      </w:r>
    </w:p>
    <w:p w14:paraId="66BEEA6A" w14:textId="77777777" w:rsidR="000F74A9" w:rsidRDefault="000F74A9" w:rsidP="000F74A9">
      <w:r>
        <w:t>- az ingatlannak az adott időpontban fennálló forgalmi értékét.</w:t>
      </w:r>
    </w:p>
    <w:p w14:paraId="4533D905" w14:textId="77777777" w:rsidR="000F74A9" w:rsidRDefault="000F74A9" w:rsidP="000F74A9">
      <w:r>
        <w:t>A jegyző az adó- és értékbizonyítványt a kérelem előterjesztésétől számított 8 napon belül adja ki.</w:t>
      </w:r>
    </w:p>
    <w:p w14:paraId="71197FF6" w14:textId="77777777" w:rsidR="000F74A9" w:rsidRDefault="000F74A9" w:rsidP="000F74A9">
      <w:r>
        <w:t>Csatolandó dokumentumok:</w:t>
      </w:r>
    </w:p>
    <w:p w14:paraId="7A4EF6D3" w14:textId="77777777" w:rsidR="000F74A9" w:rsidRDefault="000F74A9" w:rsidP="000F74A9">
      <w:r>
        <w:t>- az ingatlan adás-vételi szerződésének eredeti, hiteles példánya,</w:t>
      </w:r>
    </w:p>
    <w:p w14:paraId="42600399" w14:textId="77777777" w:rsidR="000F74A9" w:rsidRPr="000F74A9" w:rsidRDefault="000F74A9" w:rsidP="000F74A9">
      <w:r>
        <w:t>- nem személyes eljárás esetén meghatalmazás</w:t>
      </w:r>
      <w:bookmarkEnd w:id="0"/>
    </w:p>
    <w:sectPr w:rsidR="000F74A9" w:rsidRPr="000F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45D9"/>
    <w:multiLevelType w:val="multilevel"/>
    <w:tmpl w:val="9C4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A9"/>
    <w:rsid w:val="000F74A9"/>
    <w:rsid w:val="003D19D9"/>
    <w:rsid w:val="00761DAC"/>
    <w:rsid w:val="009629B3"/>
    <w:rsid w:val="00C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345B"/>
  <w15:chartTrackingRefBased/>
  <w15:docId w15:val="{7FA9127C-E56D-4DCC-9FA8-1E68EE1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74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74A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F74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60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3511.3483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93173.362563" TargetMode="External"/><Relationship Id="rId12" Type="http://schemas.openxmlformats.org/officeDocument/2006/relationships/hyperlink" Target="http://njt.hu/cgi_bin/njt_doc.cgi?docid=30875.36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205359.360791" TargetMode="External"/><Relationship Id="rId11" Type="http://schemas.openxmlformats.org/officeDocument/2006/relationships/hyperlink" Target="http://njt.hu/cgi_bin/njt_doc.cgi?docid=131478.361244" TargetMode="External"/><Relationship Id="rId5" Type="http://schemas.openxmlformats.org/officeDocument/2006/relationships/hyperlink" Target="http://njt.hu/cgi_bin/njt_doc.cgi?docid=205358.346548" TargetMode="External"/><Relationship Id="rId10" Type="http://schemas.openxmlformats.org/officeDocument/2006/relationships/hyperlink" Target="http://njt.hu/cgi_bin/njt_doc.cgi?docid=21471.36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5227.346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</dc:creator>
  <cp:keywords/>
  <dc:description/>
  <cp:lastModifiedBy>Szocialis</cp:lastModifiedBy>
  <cp:revision>2</cp:revision>
  <cp:lastPrinted>2020-02-25T15:10:00Z</cp:lastPrinted>
  <dcterms:created xsi:type="dcterms:W3CDTF">2020-02-25T15:10:00Z</dcterms:created>
  <dcterms:modified xsi:type="dcterms:W3CDTF">2020-02-25T15:10:00Z</dcterms:modified>
</cp:coreProperties>
</file>